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60226">
      <w:pPr>
        <w:pStyle w:val="2"/>
        <w:keepNext w:val="0"/>
        <w:widowControl w:val="0"/>
        <w:numPr>
          <w:ilvl w:val="0"/>
          <w:numId w:val="0"/>
        </w:numPr>
        <w:tabs>
          <w:tab w:val="left" w:pos="1100"/>
          <w:tab w:val="center" w:pos="4501"/>
        </w:tabs>
        <w:adjustRightInd w:val="0"/>
        <w:snapToGrid w:val="0"/>
        <w:spacing w:before="0" w:after="0" w:line="276" w:lineRule="auto"/>
        <w:ind w:left="463" w:hanging="463" w:hangingChars="89"/>
        <w:contextualSpacing/>
        <w:jc w:val="center"/>
        <w:rPr>
          <w:rFonts w:ascii="微软雅黑" w:hAnsi="微软雅黑" w:eastAsia="微软雅黑" w:cs="微软雅黑"/>
          <w:color w:val="00B0F0"/>
          <w:sz w:val="52"/>
          <w:szCs w:val="52"/>
        </w:rPr>
      </w:pPr>
      <w:r>
        <w:rPr>
          <w:rFonts w:hint="eastAsia" w:ascii="微软雅黑" w:hAnsi="微软雅黑" w:eastAsia="微软雅黑" w:cs="微软雅黑"/>
          <w:color w:val="00B0F0"/>
          <w:sz w:val="52"/>
          <w:szCs w:val="52"/>
        </w:rPr>
        <w:t>“视界无限，宇你同行”</w:t>
      </w:r>
    </w:p>
    <w:p w14:paraId="6F5E74B9">
      <w:pPr>
        <w:pStyle w:val="2"/>
        <w:keepNext w:val="0"/>
        <w:widowControl w:val="0"/>
        <w:numPr>
          <w:ilvl w:val="0"/>
          <w:numId w:val="0"/>
        </w:numPr>
        <w:adjustRightInd w:val="0"/>
        <w:snapToGrid w:val="0"/>
        <w:spacing w:before="0" w:after="156" w:afterLines="50" w:line="276" w:lineRule="auto"/>
        <w:contextualSpacing/>
        <w:jc w:val="right"/>
        <w:rPr>
          <w:rFonts w:ascii="微软雅黑" w:hAnsi="微软雅黑" w:eastAsia="微软雅黑" w:cs="宋体"/>
          <w:b w:val="0"/>
          <w:sz w:val="24"/>
          <w:szCs w:val="24"/>
        </w:rPr>
      </w:pPr>
      <w:r>
        <w:rPr>
          <w:rFonts w:hint="eastAsia" w:ascii="微软雅黑" w:hAnsi="微软雅黑" w:eastAsia="微软雅黑" w:cs="宋体"/>
          <w:b w:val="0"/>
          <w:sz w:val="24"/>
          <w:szCs w:val="24"/>
        </w:rPr>
        <w:t>——宇视科技202</w:t>
      </w:r>
      <w:r>
        <w:rPr>
          <w:rFonts w:hint="eastAsia" w:ascii="微软雅黑" w:hAnsi="微软雅黑" w:eastAsia="微软雅黑" w:cs="宋体"/>
          <w:b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宋体"/>
          <w:b w:val="0"/>
          <w:sz w:val="24"/>
          <w:szCs w:val="24"/>
        </w:rPr>
        <w:t>届校园招聘简章</w:t>
      </w:r>
    </w:p>
    <w:p w14:paraId="1770007E">
      <w:pPr>
        <w:pStyle w:val="18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宋体"/>
          <w:b/>
        </w:rPr>
      </w:pPr>
      <w:r>
        <w:rPr>
          <w:rFonts w:hint="eastAsia" w:ascii="微软雅黑" w:hAnsi="微软雅黑" w:eastAsia="微软雅黑" w:cs="宋体"/>
          <w:b w:val="0"/>
          <w:bCs/>
        </w:rPr>
        <w:t>参演《流浪地球2》 助力中国科幻未来</w:t>
      </w:r>
    </w:p>
    <w:p w14:paraId="1C1332CF">
      <w:pPr>
        <w:pStyle w:val="18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</w:rPr>
        <w:t>交付的产品方案覆盖全球</w:t>
      </w:r>
      <w:r>
        <w:rPr>
          <w:rFonts w:hint="eastAsia" w:ascii="微软雅黑" w:hAnsi="微软雅黑" w:eastAsia="微软雅黑" w:cs="宋体"/>
          <w:b/>
        </w:rPr>
        <w:t>200余个国家和地区</w:t>
      </w:r>
      <w:r>
        <w:rPr>
          <w:rFonts w:hint="eastAsia" w:ascii="微软雅黑" w:hAnsi="微软雅黑" w:eastAsia="微软雅黑" w:cs="宋体"/>
        </w:rPr>
        <w:t>，3000余个城市</w:t>
      </w:r>
    </w:p>
    <w:p w14:paraId="05EE43DD">
      <w:pPr>
        <w:pStyle w:val="18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宋体"/>
          <w:b/>
        </w:rPr>
      </w:pPr>
      <w:r>
        <w:rPr>
          <w:rFonts w:hint="eastAsia" w:ascii="微软雅黑" w:hAnsi="微软雅黑" w:eastAsia="微软雅黑" w:cs="宋体"/>
        </w:rPr>
        <w:t>全球市场</w:t>
      </w:r>
      <w:r>
        <w:rPr>
          <w:rFonts w:hint="eastAsia" w:ascii="微软雅黑" w:hAnsi="微软雅黑" w:eastAsia="微软雅黑" w:cs="宋体"/>
          <w:b/>
        </w:rPr>
        <w:t>TOP 4，</w:t>
      </w:r>
      <w:r>
        <w:rPr>
          <w:rFonts w:hint="eastAsia" w:ascii="微软雅黑" w:hAnsi="微软雅黑" w:eastAsia="微软雅黑" w:cs="宋体"/>
        </w:rPr>
        <w:t>中国</w:t>
      </w:r>
      <w:r>
        <w:rPr>
          <w:rFonts w:hint="eastAsia" w:ascii="微软雅黑" w:hAnsi="微软雅黑" w:eastAsia="微软雅黑" w:cs="宋体"/>
          <w:lang w:val="en-US" w:eastAsia="zh-CN"/>
        </w:rPr>
        <w:t>市场</w:t>
      </w:r>
      <w:r>
        <w:rPr>
          <w:rFonts w:hint="eastAsia" w:ascii="微软雅黑" w:hAnsi="微软雅黑" w:eastAsia="微软雅黑" w:cs="宋体"/>
          <w:b/>
        </w:rPr>
        <w:t>TOP 3</w:t>
      </w:r>
    </w:p>
    <w:p w14:paraId="06D505FB">
      <w:pPr>
        <w:pStyle w:val="18"/>
        <w:widowControl/>
        <w:numPr>
          <w:ilvl w:val="0"/>
          <w:numId w:val="2"/>
        </w:numPr>
        <w:adjustRightInd w:val="0"/>
        <w:snapToGrid w:val="0"/>
        <w:ind w:firstLineChars="0"/>
        <w:jc w:val="left"/>
        <w:rPr>
          <w:rFonts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</w:rPr>
        <w:t>我们寻找敢于探索、持续学习、热爱挑战的你一起探索AIoT行业的无限可能</w:t>
      </w:r>
    </w:p>
    <w:p w14:paraId="65B1F6D6">
      <w:pPr>
        <w:pStyle w:val="7"/>
        <w:widowControl/>
        <w:adjustRightInd w:val="0"/>
        <w:spacing w:before="156" w:beforeLines="50"/>
        <w:contextualSpacing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>一、公司简介</w:t>
      </w:r>
    </w:p>
    <w:p w14:paraId="64F6D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浙江宇视科技有限公司（uniview），是全球AIoT产品、解决方案与全栈式能力提供商，以“ABCI”（AI人工智能、BigData大数据、Cloud云计算、IoT物联网）技术为核心的引领者。宇视2011年成立，在创建第7年（2018年）做到全球第4位，研发技术人员占公司总人数约50%，在中国的北京、杭州、深圳、西安、济南、天津、武汉设有研发机构，在桐乡建有全球智能制造基地。</w:t>
      </w:r>
    </w:p>
    <w:p w14:paraId="477E2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截至2025年底，宇视专利申请总数5200余件，发明专利占比约80%，涵盖了光机电、图像处理、机器视觉、大数据、云存储等各个维度。我们每年将10%左右的营收投入研发，为可持续发展提供有力支撑。</w:t>
      </w:r>
    </w:p>
    <w:p w14:paraId="24746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宇视推出AIoT大型操作系统IMOS，交付的产品方案覆盖全球200余个国家和地区，3000余个城市。截至2025年底，宇视参与建设平安工程1050余个，智能交通项目620余个，智慧城市580余个，平安高校700余所（88%一流高校，80%一流学科高校，90%教育部直属高校），45个城市的210余条地铁线路，百余个机场，大型企业700余家，三甲医院350余家，高速公路450余条，550余个地标性商业综合体建筑。</w:t>
      </w:r>
    </w:p>
    <w:p w14:paraId="2867B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明天的世界，正在今天被工程师改变，宇视为《流浪地球2》提供设备与技术支持，交付了423件产品。在几乎中国所有重大峰会（APEC、G20、上合、金砖）、历史时刻（人大、两会）、国际体育赛事（北京冬奥会、杭州亚运会）的场景都有宇视的守护。</w:t>
      </w:r>
    </w:p>
    <w:p w14:paraId="2AA32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</w:p>
    <w:p w14:paraId="2ED62CE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52" w:lineRule="auto"/>
        <w:ind w:left="420" w:leftChars="0" w:hanging="420" w:firstLineChars="0"/>
        <w:jc w:val="left"/>
        <w:textAlignment w:val="auto"/>
        <w:rPr>
          <w:rFonts w:hint="eastAsia" w:ascii="微软雅黑" w:hAnsi="微软雅黑" w:eastAsia="微软雅黑" w:cs="宋体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微软雅黑" w:hAnsi="微软雅黑" w:eastAsia="微软雅黑" w:cs="宋体"/>
          <w:b/>
          <w:color w:val="00B0F0"/>
          <w:kern w:val="0"/>
          <w:sz w:val="21"/>
          <w:szCs w:val="21"/>
          <w:lang w:val="en-US" w:eastAsia="zh-CN" w:bidi="ar-SA"/>
        </w:rPr>
        <w:t>宇视，把AI装进世界的每个角落</w:t>
      </w:r>
      <w:r>
        <w:rPr>
          <w:rFonts w:hint="default" w:ascii="微软雅黑" w:hAnsi="微软雅黑" w:eastAsia="微软雅黑" w:cs="宋体"/>
          <w:b/>
          <w:bCs/>
          <w:kern w:val="2"/>
          <w:sz w:val="21"/>
          <w:szCs w:val="21"/>
          <w:lang w:val="en-US" w:eastAsia="zh-CN" w:bidi="ar-SA"/>
        </w:rPr>
        <w:t>​</w:t>
      </w:r>
    </w:p>
    <w:p w14:paraId="0CE58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AI+视觉：阿宇夜鹰系列摄像机，让黑夜亮如白昼，温暖守护夜间出行。</w:t>
      </w:r>
    </w:p>
    <w:p w14:paraId="5F645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AI+交通：620余个智能交通项目、450余条高速、210+地铁线，宇视AI一路护航。</w:t>
      </w:r>
    </w:p>
    <w:p w14:paraId="0B89A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AI+教育：「心力方」「鹿鸣」走进近百所学校，让少年“身上有汗，眼里有光”。</w:t>
      </w:r>
    </w:p>
    <w:p w14:paraId="4E719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AI+体育：AI解说员“宇大嘴”直播浙BA、湘超，普通人的高光也被看见。</w:t>
      </w:r>
    </w:p>
    <w:p w14:paraId="57206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AI+充电：AI视频充电桩落地3000+超充站，光储充停一体化协同发力。</w:t>
      </w:r>
    </w:p>
    <w:p w14:paraId="066A0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AI+能源：Hopetrek全屋智慧安全生态，把绿色与安心送进全球千家万户。</w:t>
      </w:r>
    </w:p>
    <w:p w14:paraId="59E71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  <w:t>AI+渠道：梧桐大模型、AI-SOP战略，把AI能力开放给千行百业。</w:t>
      </w:r>
    </w:p>
    <w:p w14:paraId="49CFC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420" w:firstLineChars="200"/>
        <w:jc w:val="left"/>
        <w:textAlignment w:val="auto"/>
        <w:rPr>
          <w:rFonts w:hint="eastAsia" w:ascii="微软雅黑" w:hAnsi="微软雅黑" w:eastAsia="微软雅黑" w:cs="宋体"/>
          <w:kern w:val="2"/>
          <w:sz w:val="21"/>
          <w:szCs w:val="24"/>
          <w:lang w:val="en-US" w:eastAsia="zh-CN" w:bidi="ar-SA"/>
        </w:rPr>
      </w:pPr>
    </w:p>
    <w:p w14:paraId="068C30FB">
      <w:pPr>
        <w:pStyle w:val="7"/>
        <w:widowControl/>
        <w:numPr>
          <w:ilvl w:val="0"/>
          <w:numId w:val="4"/>
        </w:numPr>
        <w:adjustRightInd w:val="0"/>
        <w:snapToGrid w:val="0"/>
        <w:spacing w:before="156" w:beforeLines="50" w:afterAutospacing="1"/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宣讲行程</w:t>
      </w:r>
    </w:p>
    <w:tbl>
      <w:tblPr>
        <w:tblStyle w:val="10"/>
        <w:tblW w:w="88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6"/>
        <w:gridCol w:w="2745"/>
        <w:gridCol w:w="1346"/>
        <w:gridCol w:w="2469"/>
      </w:tblGrid>
      <w:tr w14:paraId="3FAA4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2286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shd w:val="clear" w:color="auto" w:fill="4BACC6"/>
            <w:vAlign w:val="center"/>
          </w:tcPr>
          <w:p w14:paraId="2FDB7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宣讲学校</w:t>
            </w:r>
          </w:p>
        </w:tc>
        <w:tc>
          <w:tcPr>
            <w:tcW w:w="2745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shd w:val="clear" w:color="auto" w:fill="4BACC6"/>
            <w:vAlign w:val="center"/>
          </w:tcPr>
          <w:p w14:paraId="6498D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宣讲日期</w:t>
            </w:r>
          </w:p>
        </w:tc>
        <w:tc>
          <w:tcPr>
            <w:tcW w:w="1346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shd w:val="clear" w:color="auto" w:fill="4BACC6"/>
            <w:vAlign w:val="center"/>
          </w:tcPr>
          <w:p w14:paraId="28AC4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宣讲时间</w:t>
            </w:r>
          </w:p>
        </w:tc>
        <w:tc>
          <w:tcPr>
            <w:tcW w:w="246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shd w:val="clear" w:color="auto" w:fill="4BACC6"/>
            <w:vAlign w:val="center"/>
          </w:tcPr>
          <w:p w14:paraId="0299C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宣讲地点</w:t>
            </w:r>
          </w:p>
        </w:tc>
      </w:tr>
      <w:tr w14:paraId="37AFF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2286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vAlign w:val="center"/>
          </w:tcPr>
          <w:p w14:paraId="369B9A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contextualSpacing/>
              <w:jc w:val="center"/>
              <w:rPr>
                <w:rFonts w:hint="default" w:ascii="微软雅黑" w:hAnsi="微软雅黑" w:eastAsia="微软雅黑" w:cs="宋体"/>
                <w:b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b w:val="0"/>
                <w:bCs w:val="0"/>
                <w:kern w:val="0"/>
                <w:sz w:val="20"/>
                <w:szCs w:val="21"/>
                <w:lang w:val="en-US" w:eastAsia="zh-CN"/>
              </w:rPr>
              <w:t>宇视科技空中宣讲会</w:t>
            </w:r>
          </w:p>
        </w:tc>
        <w:tc>
          <w:tcPr>
            <w:tcW w:w="2745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vAlign w:val="center"/>
          </w:tcPr>
          <w:p w14:paraId="6253EE3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contextualSpacing/>
              <w:jc w:val="center"/>
              <w:rPr>
                <w:rFonts w:hint="default" w:ascii="微软雅黑" w:hAnsi="微软雅黑" w:eastAsia="微软雅黑" w:cs="宋体"/>
                <w:kern w:val="0"/>
                <w:sz w:val="20"/>
                <w:szCs w:val="21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</w:rPr>
              <w:t>10月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</w:rPr>
              <w:t>日（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  <w:t>星期四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</w:rPr>
              <w:t>）</w:t>
            </w:r>
          </w:p>
        </w:tc>
        <w:tc>
          <w:tcPr>
            <w:tcW w:w="1346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vAlign w:val="center"/>
          </w:tcPr>
          <w:p w14:paraId="00AC46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contextualSpacing/>
              <w:jc w:val="center"/>
              <w:rPr>
                <w:rFonts w:hint="default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  <w:t>19:00</w:t>
            </w:r>
          </w:p>
        </w:tc>
        <w:tc>
          <w:tcPr>
            <w:tcW w:w="2469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  <w:tl2br w:val="nil"/>
              <w:tr2bl w:val="nil"/>
            </w:tcBorders>
            <w:vAlign w:val="center"/>
          </w:tcPr>
          <w:p w14:paraId="1D532F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contextualSpacing/>
              <w:jc w:val="center"/>
              <w:rPr>
                <w:rFonts w:hint="default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  <w:szCs w:val="21"/>
                <w:lang w:val="en-US" w:eastAsia="zh-CN"/>
              </w:rPr>
              <w:t>宇视招聘视频号</w:t>
            </w:r>
            <w:r>
              <w:rPr>
                <w:rFonts w:hint="eastAsia" w:ascii="微软雅黑" w:hAnsi="微软雅黑" w:eastAsia="微软雅黑" w:cs="宋体"/>
                <w:b/>
                <w:color w:val="00B0F0"/>
                <w:kern w:val="0"/>
                <w:szCs w:val="21"/>
                <w:lang w:val="en-US" w:eastAsia="zh-CN"/>
              </w:rPr>
              <w:drawing>
                <wp:inline distT="0" distB="0" distL="114300" distR="114300">
                  <wp:extent cx="718185" cy="724535"/>
                  <wp:effectExtent l="0" t="0" r="5715" b="12065"/>
                  <wp:docPr id="3" name="图片 3" descr="宇视招聘视频号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宇视招聘视频号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8719" t="27021" r="17776" b="198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85" cy="72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8270E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Autospacing="1"/>
        <w:textAlignment w:val="auto"/>
        <w:rPr>
          <w:rFonts w:ascii="微软雅黑" w:hAnsi="微软雅黑" w:eastAsia="微软雅黑" w:cs="宋体"/>
          <w:b/>
          <w:color w:val="00B0F0"/>
          <w:kern w:val="0"/>
          <w:szCs w:val="21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br w:type="textWrapping"/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三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>、薪资福利</w:t>
      </w:r>
    </w:p>
    <w:p w14:paraId="7EF84648"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18"/>
        </w:rPr>
      </w:pPr>
      <w:r>
        <w:rPr>
          <w:rFonts w:hint="eastAsia" w:ascii="微软雅黑" w:hAnsi="微软雅黑" w:eastAsia="微软雅黑" w:cs="微软雅黑"/>
          <w:b/>
          <w:szCs w:val="18"/>
          <w:lang w:bidi="ar"/>
        </w:rPr>
        <w:t>1.薪资</w:t>
      </w:r>
    </w:p>
    <w:p w14:paraId="7F2E4DAE"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薪资水平在行业中具有竞争力，同时根据公司规划研究制定员工长期激励政策，在公司快速发展的同时能让全体员工受益。</w:t>
      </w:r>
    </w:p>
    <w:p w14:paraId="6A1B8B73"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2.社会保险与住房公积金</w:t>
      </w:r>
    </w:p>
    <w:p w14:paraId="107DA40B"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根据国家规定，公司为员工办理养老、医疗、生育、失业、工伤社会保险，住房公积金缴纳基数为月薪全额，缴纳比例为1</w:t>
      </w:r>
      <w:r>
        <w:rPr>
          <w:rFonts w:ascii="微软雅黑" w:hAnsi="微软雅黑" w:eastAsia="微软雅黑" w:cs="微软雅黑"/>
          <w:sz w:val="21"/>
          <w:szCs w:val="21"/>
        </w:rPr>
        <w:t>2</w:t>
      </w:r>
      <w:r>
        <w:rPr>
          <w:rFonts w:hint="eastAsia" w:ascii="微软雅黑" w:hAnsi="微软雅黑" w:eastAsia="微软雅黑" w:cs="微软雅黑"/>
          <w:sz w:val="21"/>
          <w:szCs w:val="21"/>
        </w:rPr>
        <w:t>%。</w:t>
      </w:r>
    </w:p>
    <w:p w14:paraId="6063976D"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3.免息购房借款</w:t>
      </w:r>
    </w:p>
    <w:p w14:paraId="73490920"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公司为员工提供免息购房借款，帮助员工实现安居乐业，提升生活层面的幸福指数。</w:t>
      </w:r>
    </w:p>
    <w:p w14:paraId="4589B328"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4.商业保险</w:t>
      </w:r>
    </w:p>
    <w:p w14:paraId="206EB4FE"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公司将额外购买人身意外伤害保险、重大疾病与疾病身故保险、海外商旅无忧保险等。</w:t>
      </w:r>
    </w:p>
    <w:p w14:paraId="6B94E2B1"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5.各类假期</w:t>
      </w:r>
    </w:p>
    <w:p w14:paraId="145057E5"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遵照国家法律法规，员工享受法定节假日和休息日休假，正常享有病假、事假、婚假、计划生育假、丧假等，并根据在公司的连续服务年限享受相应年休假。</w:t>
      </w:r>
    </w:p>
    <w:p w14:paraId="0417BB2B">
      <w:pPr>
        <w:adjustRightInd w:val="0"/>
        <w:snapToGrid w:val="0"/>
        <w:spacing w:before="156" w:beforeLines="50"/>
        <w:rPr>
          <w:rFonts w:ascii="微软雅黑" w:hAnsi="微软雅黑" w:eastAsia="微软雅黑" w:cs="微软雅黑"/>
          <w:b/>
          <w:szCs w:val="21"/>
        </w:rPr>
      </w:pPr>
      <w:r>
        <w:rPr>
          <w:rFonts w:hint="eastAsia" w:ascii="微软雅黑" w:hAnsi="微软雅黑" w:eastAsia="微软雅黑" w:cs="微软雅黑"/>
          <w:b/>
          <w:szCs w:val="21"/>
          <w:lang w:bidi="ar"/>
        </w:rPr>
        <w:t>6.年度体检</w:t>
      </w:r>
    </w:p>
    <w:p w14:paraId="1EB4D8BE">
      <w:pPr>
        <w:pStyle w:val="7"/>
        <w:widowControl/>
        <w:adjustRightInd w:val="0"/>
        <w:snapToGrid w:val="0"/>
        <w:spacing w:before="156" w:beforeLines="50"/>
        <w:ind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 xml:space="preserve">公司每年为员工在当地医院安排全面正规的健康体检，并设有专职人员跟踪员工的健康情况并提供健康咨询，不定期组织健康活动，细心呵护员工健康。 </w:t>
      </w:r>
    </w:p>
    <w:p w14:paraId="3F096AED">
      <w:pPr>
        <w:pStyle w:val="7"/>
        <w:widowControl/>
        <w:adjustRightInd w:val="0"/>
        <w:snapToGrid w:val="0"/>
        <w:spacing w:before="156" w:beforeLines="50" w:afterAutospacing="1"/>
        <w:rPr>
          <w:rFonts w:ascii="微软雅黑" w:hAnsi="微软雅黑" w:eastAsia="微软雅黑" w:cs="宋体"/>
          <w:b/>
          <w:color w:val="00B0F0"/>
          <w:kern w:val="0"/>
          <w:szCs w:val="21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四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 xml:space="preserve">、招聘流程 </w:t>
      </w:r>
    </w:p>
    <w:p w14:paraId="0B4EA4A7"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简历投递：</w:t>
      </w:r>
      <w:r>
        <w:rPr>
          <w:rFonts w:hint="eastAsia" w:ascii="微软雅黑" w:hAnsi="微软雅黑" w:eastAsia="微软雅黑" w:cs="宋体"/>
          <w:bCs/>
          <w:kern w:val="0"/>
          <w:sz w:val="21"/>
          <w:szCs w:val="21"/>
        </w:rPr>
        <w:t>通过</w:t>
      </w:r>
      <w:r>
        <w:rPr>
          <w:rFonts w:hint="eastAsia" w:ascii="微软雅黑" w:hAnsi="微软雅黑" w:eastAsia="微软雅黑" w:cs="宋体"/>
          <w:b/>
          <w:bCs/>
          <w:kern w:val="0"/>
          <w:sz w:val="21"/>
          <w:szCs w:val="21"/>
        </w:rPr>
        <w:t>宇视招聘官网或微信端</w:t>
      </w:r>
      <w:r>
        <w:rPr>
          <w:rFonts w:hint="eastAsia" w:ascii="微软雅黑" w:hAnsi="微软雅黑" w:eastAsia="微软雅黑" w:cs="宋体"/>
          <w:bCs/>
          <w:kern w:val="0"/>
          <w:sz w:val="21"/>
          <w:szCs w:val="21"/>
        </w:rPr>
        <w:t>网申，</w:t>
      </w:r>
      <w:r>
        <w:rPr>
          <w:rFonts w:hint="eastAsia" w:ascii="微软雅黑" w:hAnsi="微软雅黑" w:eastAsia="微软雅黑" w:cs="微软雅黑"/>
          <w:sz w:val="21"/>
          <w:szCs w:val="21"/>
        </w:rPr>
        <w:t>获取专属测评链接，实现自主查询进展。</w:t>
      </w:r>
    </w:p>
    <w:p w14:paraId="24FC1AAF"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宋体"/>
          <w:b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在线笔试：</w:t>
      </w:r>
      <w:r>
        <w:rPr>
          <w:rFonts w:hint="eastAsia" w:ascii="微软雅黑" w:hAnsi="微软雅黑" w:eastAsia="微软雅黑" w:cs="微软雅黑"/>
          <w:sz w:val="21"/>
          <w:szCs w:val="21"/>
        </w:rPr>
        <w:t>简历初筛后，研发统一进行线上笔试，具体安排提前以邮件+短信通知。</w:t>
      </w:r>
    </w:p>
    <w:p w14:paraId="2C01D4C7"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宋体"/>
          <w:b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综合面试：</w:t>
      </w:r>
      <w:r>
        <w:rPr>
          <w:rFonts w:hint="eastAsia" w:ascii="微软雅黑" w:hAnsi="微软雅黑" w:eastAsia="微软雅黑" w:cs="宋体"/>
          <w:bCs/>
          <w:kern w:val="0"/>
          <w:sz w:val="21"/>
          <w:szCs w:val="21"/>
        </w:rPr>
        <w:t>简历筛选及笔试通过者将参与远程或现场面试</w:t>
      </w:r>
      <w:r>
        <w:rPr>
          <w:rFonts w:hint="eastAsia" w:ascii="微软雅黑" w:hAnsi="微软雅黑" w:eastAsia="微软雅黑" w:cs="微软雅黑"/>
          <w:sz w:val="21"/>
          <w:szCs w:val="21"/>
        </w:rPr>
        <w:t>，具体安排提前以邮件+短信通知。</w:t>
      </w:r>
    </w:p>
    <w:p w14:paraId="0810C16B"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宋体"/>
          <w:b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审批录用：</w:t>
      </w:r>
      <w:r>
        <w:rPr>
          <w:rFonts w:hint="eastAsia" w:ascii="微软雅黑" w:hAnsi="微软雅黑" w:eastAsia="微软雅黑" w:cs="微软雅黑"/>
          <w:sz w:val="21"/>
          <w:szCs w:val="21"/>
        </w:rPr>
        <w:t>面试通过者进入录用审批环节，公司审批通过后，正式发放录用通知书。</w:t>
      </w:r>
    </w:p>
    <w:p w14:paraId="227E83A5">
      <w:pPr>
        <w:pStyle w:val="7"/>
        <w:widowControl/>
        <w:adjustRightInd w:val="0"/>
        <w:snapToGrid w:val="0"/>
        <w:spacing w:line="300" w:lineRule="auto"/>
        <w:rPr>
          <w:rFonts w:ascii="微软雅黑" w:hAnsi="微软雅黑" w:eastAsia="微软雅黑" w:cs="宋体"/>
          <w:b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体检签约：</w:t>
      </w:r>
      <w:r>
        <w:rPr>
          <w:rFonts w:hint="eastAsia" w:ascii="微软雅黑" w:hAnsi="微软雅黑" w:eastAsia="微软雅黑" w:cs="微软雅黑"/>
          <w:sz w:val="21"/>
          <w:szCs w:val="21"/>
        </w:rPr>
        <w:t>按指定要求完成基本项目体检，参加签约，提交体检报告与就业协议。</w:t>
      </w:r>
    </w:p>
    <w:p w14:paraId="6BAFC38A">
      <w:pPr>
        <w:pStyle w:val="7"/>
        <w:widowControl/>
        <w:adjustRightInd w:val="0"/>
        <w:snapToGrid w:val="0"/>
        <w:spacing w:line="30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入职报到：</w:t>
      </w:r>
      <w:r>
        <w:rPr>
          <w:rFonts w:hint="eastAsia" w:ascii="微软雅黑" w:hAnsi="微软雅黑" w:eastAsia="微软雅黑" w:cs="微软雅黑"/>
          <w:sz w:val="21"/>
          <w:szCs w:val="21"/>
        </w:rPr>
        <w:t>结合毕业时间和公司入职安排，按时报到。</w:t>
      </w:r>
    </w:p>
    <w:p w14:paraId="61D269FB">
      <w:pPr>
        <w:pStyle w:val="7"/>
        <w:widowControl/>
        <w:adjustRightInd w:val="0"/>
        <w:snapToGrid w:val="0"/>
        <w:spacing w:before="156" w:beforeLines="50" w:afterAutospacing="1"/>
        <w:rPr>
          <w:rFonts w:ascii="微软雅黑" w:hAnsi="微软雅黑" w:eastAsia="微软雅黑" w:cs="宋体"/>
          <w:b/>
          <w:color w:val="00B0F0"/>
          <w:kern w:val="0"/>
          <w:szCs w:val="21"/>
        </w:rPr>
      </w:pPr>
      <w:r>
        <w:rPr>
          <w:rFonts w:hint="default" w:ascii="微软雅黑" w:hAnsi="微软雅黑" w:eastAsia="微软雅黑" w:cs="宋体"/>
          <w:b/>
          <w:color w:val="00B0F0"/>
          <w:kern w:val="0"/>
          <w:szCs w:val="21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4552950</wp:posOffset>
            </wp:positionH>
            <wp:positionV relativeFrom="paragraph">
              <wp:posOffset>301625</wp:posOffset>
            </wp:positionV>
            <wp:extent cx="831850" cy="852805"/>
            <wp:effectExtent l="0" t="0" r="6350" b="10795"/>
            <wp:wrapNone/>
            <wp:docPr id="1" name="图片 2" descr="D:/2025校招/宇视招聘公众号二维码.jpg宇视招聘公众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D:/2025校招/宇视招聘公众号二维码.jpg宇视招聘公众号二维码"/>
                    <pic:cNvPicPr>
                      <a:picLocks noChangeAspect="1"/>
                    </pic:cNvPicPr>
                  </pic:nvPicPr>
                  <pic:blipFill>
                    <a:blip r:embed="rId7"/>
                    <a:srcRect l="1229" r="1229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五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>、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  <w:lang w:val="en-US" w:eastAsia="zh-CN"/>
        </w:rPr>
        <w:t>网申</w:t>
      </w: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 xml:space="preserve">方式 </w:t>
      </w:r>
    </w:p>
    <w:p w14:paraId="34B221F0">
      <w:pPr>
        <w:pStyle w:val="7"/>
        <w:widowControl/>
        <w:adjustRightInd w:val="0"/>
        <w:snapToGrid w:val="0"/>
        <w:spacing w:before="156" w:beforeLines="50" w:after="312" w:afterLines="100" w:line="276" w:lineRule="auto"/>
        <w:contextualSpacing/>
        <w:jc w:val="left"/>
        <w:rPr>
          <w:rFonts w:ascii="微软雅黑" w:hAnsi="微软雅黑" w:eastAsia="微软雅黑" w:cs="宋体"/>
          <w:kern w:val="0"/>
          <w:sz w:val="21"/>
          <w:szCs w:val="21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校招热线：</w:t>
      </w:r>
      <w:r>
        <w:rPr>
          <w:rFonts w:hint="eastAsia" w:ascii="微软雅黑" w:hAnsi="微软雅黑" w:eastAsia="微软雅黑" w:cs="宋体"/>
          <w:kern w:val="0"/>
          <w:sz w:val="21"/>
          <w:szCs w:val="21"/>
        </w:rPr>
        <w:t xml:space="preserve">0571-86509003              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咨询邮箱：</w:t>
      </w:r>
      <w:r>
        <w:rPr>
          <w:rFonts w:hint="eastAsia" w:ascii="微软雅黑" w:hAnsi="微软雅黑" w:eastAsia="微软雅黑" w:cs="宋体"/>
          <w:kern w:val="0"/>
          <w:sz w:val="21"/>
          <w:szCs w:val="21"/>
        </w:rPr>
        <w:t>job@uniview.com</w:t>
      </w:r>
    </w:p>
    <w:p w14:paraId="39AD128D">
      <w:pPr>
        <w:pStyle w:val="7"/>
        <w:widowControl/>
        <w:adjustRightInd w:val="0"/>
        <w:snapToGrid w:val="0"/>
        <w:spacing w:before="156" w:beforeLines="50" w:after="312" w:afterLines="100" w:line="276" w:lineRule="auto"/>
        <w:contextualSpacing/>
        <w:jc w:val="left"/>
        <w:rPr>
          <w:rFonts w:hint="eastAsia" w:ascii="微软雅黑" w:hAnsi="微软雅黑" w:eastAsia="微软雅黑" w:cs="宋体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招聘官网：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instrText xml:space="preserve"> HYPERLINK "https://talent.uniview.com/index.html" </w:instrTex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fldChar w:fldCharType="separate"/>
      </w:r>
      <w:r>
        <w:rPr>
          <w:rStyle w:val="12"/>
          <w:rFonts w:hint="eastAsia" w:ascii="微软雅黑" w:hAnsi="微软雅黑" w:eastAsia="微软雅黑" w:cs="宋体"/>
          <w:b w:val="0"/>
          <w:bCs/>
          <w:color w:val="auto"/>
          <w:kern w:val="0"/>
          <w:sz w:val="21"/>
          <w:szCs w:val="21"/>
        </w:rPr>
        <w:t>https://talent.uniview.com/</w:t>
      </w:r>
      <w:r>
        <w:rPr>
          <w:rStyle w:val="12"/>
          <w:rFonts w:hint="eastAsia" w:ascii="微软雅黑" w:hAnsi="微软雅黑" w:eastAsia="微软雅黑" w:cs="宋体"/>
          <w:b/>
          <w:kern w:val="0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宋体"/>
          <w:kern w:val="0"/>
          <w:sz w:val="21"/>
          <w:szCs w:val="21"/>
        </w:rPr>
        <w:t xml:space="preserve">  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微信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  <w:lang w:val="en-US" w:eastAsia="zh-CN"/>
        </w:rPr>
        <w:t>公众号</w:t>
      </w:r>
      <w:r>
        <w:rPr>
          <w:rFonts w:hint="eastAsia" w:ascii="微软雅黑" w:hAnsi="微软雅黑" w:eastAsia="微软雅黑" w:cs="宋体"/>
          <w:b/>
          <w:kern w:val="0"/>
          <w:sz w:val="21"/>
          <w:szCs w:val="21"/>
        </w:rPr>
        <w:t>：</w:t>
      </w:r>
      <w:r>
        <w:rPr>
          <w:rFonts w:hint="eastAsia" w:ascii="微软雅黑" w:hAnsi="微软雅黑" w:eastAsia="微软雅黑" w:cs="宋体"/>
          <w:kern w:val="0"/>
          <w:sz w:val="21"/>
          <w:szCs w:val="21"/>
        </w:rPr>
        <w:t>宇视招聘</w:t>
      </w:r>
      <w:bookmarkStart w:id="0" w:name="_GoBack"/>
      <w:bookmarkEnd w:id="0"/>
    </w:p>
    <w:p w14:paraId="78F399F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157" w:afterLines="50" w:afterAutospacing="0" w:line="240" w:lineRule="auto"/>
        <w:textAlignment w:val="auto"/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</w:pPr>
      <w:r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  <w:t>附录：招聘岗位</w:t>
      </w:r>
    </w:p>
    <w:tbl>
      <w:tblPr>
        <w:tblStyle w:val="8"/>
        <w:tblW w:w="968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375"/>
        <w:gridCol w:w="3716"/>
        <w:gridCol w:w="3971"/>
      </w:tblGrid>
      <w:tr w14:paraId="36123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2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 w14:paraId="3E57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375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 w14:paraId="5B5E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 w14:paraId="47AF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 w14:paraId="7AE4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工作地点</w:t>
            </w:r>
          </w:p>
        </w:tc>
      </w:tr>
      <w:tr w14:paraId="5BC0A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12E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703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研究开发部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24D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软件开发工程师(C/C++/嵌入式/驱动)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890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杭州、西安、济南、天津、武汉、深圳</w:t>
            </w:r>
          </w:p>
        </w:tc>
      </w:tr>
      <w:tr w14:paraId="289BD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380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99699C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C0A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软件开发工程师（JAVA/Golang)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17A1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杭州、西安、济南、武汉</w:t>
            </w:r>
          </w:p>
        </w:tc>
      </w:tr>
      <w:tr w14:paraId="6D388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00A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23B269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AA3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软件开发工程师(WEB)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58CA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</w:t>
            </w:r>
          </w:p>
        </w:tc>
      </w:tr>
      <w:tr w14:paraId="659E8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B72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9091FC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892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软件开发工程师（Python)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CE1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0A883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2DF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7BF14A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5A8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软件测试工程师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8E7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杭州、西安、济南、深圳、天津、武汉</w:t>
            </w:r>
          </w:p>
        </w:tc>
      </w:tr>
      <w:tr w14:paraId="0DC0D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513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B117A6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348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图像处理/调测工程师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022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杭州、天津</w:t>
            </w:r>
          </w:p>
        </w:tc>
      </w:tr>
      <w:tr w14:paraId="549A3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8AF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6E997B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47E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雷达算法工程师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5B2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杭州、天津</w:t>
            </w:r>
          </w:p>
        </w:tc>
      </w:tr>
      <w:tr w14:paraId="4430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460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745556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FC4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DSP软件开发工程师(新能源)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E340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</w:t>
            </w:r>
          </w:p>
        </w:tc>
      </w:tr>
      <w:tr w14:paraId="63A41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3F8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DE1631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37D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硬件开发工程师(新能源)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B16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</w:t>
            </w:r>
          </w:p>
        </w:tc>
      </w:tr>
      <w:tr w14:paraId="47DBD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69E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B49DD9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F81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电气工程师(新能源)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A18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60F10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6CA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37785A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546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硬件测试工程师(新能源)(杭州）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B06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04FA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8DA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C247E2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024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硬件开发工程师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1E5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杭州、济南、深圳</w:t>
            </w:r>
          </w:p>
        </w:tc>
      </w:tr>
      <w:tr w14:paraId="59FB3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279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42CD9C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7A7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硬件测试工程师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E5B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1C6C5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43C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91D2F8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FB6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硬件工程师(器件)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670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56751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D4A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8DB6B8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650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硬件工程师(逻辑/FPGA)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742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37D9D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508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C1A725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574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光学工程师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22C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03DC9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8E6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34A8F8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79B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硬件工程师(EMC)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AF5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1B945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069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1A2D90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859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硬件工程师(电源)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D26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6E62F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714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8D0FCE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9C1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硬件工程师(热设计与可靠性)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A97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0A012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1CD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E39F89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E1C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硬件工程师(射频)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BC2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济南</w:t>
            </w:r>
          </w:p>
        </w:tc>
      </w:tr>
      <w:tr w14:paraId="60F1E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DFE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BAAF4A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949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包装设计工程师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7A0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29C3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271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746365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78F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装备开发工程师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945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5E1FE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414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3AD718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446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结构设计工程师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18B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6A30F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43A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24AD1F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9A9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PCB互连工程师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A78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2036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BAB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EDBFDD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BD1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部件分析工程师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E3B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57A43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265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F92EDA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CC8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单板工艺工程师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02A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13C1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6D8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D487A4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A44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数据管理工程师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9AB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0785A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4B2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375" w:type="dxa"/>
            <w:vMerge w:val="restart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9FE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宇视研究院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8EE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AI算法工程师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D5C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杭州、西安、济南</w:t>
            </w:r>
          </w:p>
        </w:tc>
      </w:tr>
      <w:tr w14:paraId="5DA4A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23A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375" w:type="dxa"/>
            <w:vMerge w:val="continue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FB953B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D2A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算法测试工程师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B6D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济南</w:t>
            </w:r>
          </w:p>
        </w:tc>
      </w:tr>
      <w:tr w14:paraId="0F75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F03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375" w:type="dxa"/>
            <w:vMerge w:val="restart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FB7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国内营销中心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F7B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国内销售工程师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78BD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嘉兴、佛山、广州、深圳、苏州、上海、沈阳、</w:t>
            </w:r>
          </w:p>
          <w:p w14:paraId="24320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北京、合肥、青岛、长沙、郑州、兰州、西安、</w:t>
            </w:r>
          </w:p>
          <w:p w14:paraId="2881D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成都、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太原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</w:t>
            </w:r>
          </w:p>
        </w:tc>
      </w:tr>
      <w:tr w14:paraId="147FF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680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375" w:type="dxa"/>
            <w:vMerge w:val="continue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7936E1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EB7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国内技术支持工程师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4864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杭州、宁波、义乌、温州、广州、南京、</w:t>
            </w:r>
          </w:p>
          <w:p w14:paraId="334BA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上海、北京、济南、福州、厦门、太原、</w:t>
            </w:r>
          </w:p>
          <w:p w14:paraId="54014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西安、成都、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</w:rPr>
              <w:t>兰州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4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</w:t>
            </w:r>
          </w:p>
        </w:tc>
      </w:tr>
      <w:tr w14:paraId="5BF45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80C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8AE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国际营销中心</w:t>
            </w: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98E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国际销售助理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1E7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济南</w:t>
            </w:r>
          </w:p>
        </w:tc>
      </w:tr>
      <w:tr w14:paraId="6ACF0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A6C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17E013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D837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22"/>
                <w:color w:val="auto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国际销售经理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2"/>
                <w:color w:val="auto"/>
                <w:lang w:val="en-US" w:eastAsia="zh-CN" w:bidi="ar"/>
              </w:rPr>
              <w:t>语言需求：英语、泰语、缅甸语、柬埔寨语、马来语、印尼语、法语、阿拉伯语、意大利语、波兰语、俄语、罗马尼亚语、希腊语、</w:t>
            </w:r>
          </w:p>
          <w:p w14:paraId="71701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22"/>
                <w:color w:val="auto"/>
                <w:lang w:val="en-US" w:eastAsia="zh-CN" w:bidi="ar"/>
              </w:rPr>
              <w:t>匈牙利语、土耳其语</w:t>
            </w:r>
          </w:p>
        </w:tc>
        <w:tc>
          <w:tcPr>
            <w:tcW w:w="3971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868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00BFB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DC0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11E924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3BF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国际技术支持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2"/>
                <w:color w:val="auto"/>
                <w:lang w:val="en-US" w:eastAsia="zh-CN" w:bidi="ar"/>
              </w:rPr>
              <w:t>语言需求：英语、泰语、缅甸语、柬埔寨语、越南语、马来语、印尼语、意大利语、波兰语、俄语、匈牙利语、韩语、日语、粤语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747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杭州、济南、北京、深圳、</w:t>
            </w:r>
          </w:p>
          <w:p w14:paraId="3DA0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韩国首尔、日本东京</w:t>
            </w:r>
          </w:p>
        </w:tc>
      </w:tr>
      <w:tr w14:paraId="1CBFA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BE1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2D07BC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AF6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国际招聘专员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7B9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1C096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71B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8E797E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09F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数据分析专员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2E5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3643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6E6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1B5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储能事业部</w:t>
            </w: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4E6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储能产品经理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A54B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31F8F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8B7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9E1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技术服务部</w:t>
            </w: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BEC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技术支持工程师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EAFF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37D64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BE0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41DFFB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30C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海外售后维修工程师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7B2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06AD0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BB7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EC6348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7B2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计划工程师(售后)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085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6290E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8ED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3A9708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7B57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海外远程技术支持工程师</w:t>
            </w:r>
          </w:p>
          <w:p w14:paraId="587A7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（英语/西班牙语/俄语）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C22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西安</w:t>
            </w:r>
          </w:p>
        </w:tc>
      </w:tr>
      <w:tr w14:paraId="1E6A9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93D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375" w:type="dxa"/>
            <w:vMerge w:val="restart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C80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供应链管理部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4AE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供应链采购计划工程师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11B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47E11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CB3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72B79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908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供应链产品计划工程师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78C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704BD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D85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E955A7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4C5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供应链海外统筹工程师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E1B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6C2C6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220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ED976C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EA0C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供应链进出口工程师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230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76377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25DE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756170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BFD9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供应链设备工程师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9FA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769F7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3AF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09A4B1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4E7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供应链工装工程师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2A6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51506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406B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F20E51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8B7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供应链整机工艺工程师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D51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6600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12A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561061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B41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供应链测试工艺工程师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03B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52B4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14C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06AC01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9394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供应链物流工程师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EAB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141E0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047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D4E132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BBA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供应链生产IE工程师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94D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4391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A64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ED2171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26E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供应链维修工艺工程师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490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6529F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3E84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2A3E73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35C3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供应链SMT测试工程师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EEB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33551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DE2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375" w:type="dxa"/>
            <w:vMerge w:val="continue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03E68CC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39C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供应链SMT设备工程师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A3E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桐乡</w:t>
            </w:r>
          </w:p>
        </w:tc>
      </w:tr>
      <w:tr w14:paraId="6A99D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D9B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B68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信息技术部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8BB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AI软件开发工程师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C22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杭州、济南</w:t>
            </w:r>
          </w:p>
        </w:tc>
      </w:tr>
      <w:tr w14:paraId="58AEE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D68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1E7A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50D5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资金专员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481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  <w:tr w14:paraId="3F47F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20" w:type="dxa"/>
            <w:tcBorders>
              <w:top w:val="nil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6A78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375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291D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法务内控部</w:t>
            </w:r>
          </w:p>
        </w:tc>
        <w:tc>
          <w:tcPr>
            <w:tcW w:w="3716" w:type="dxa"/>
            <w:tcBorders>
              <w:top w:val="single" w:color="4BACC6" w:sz="8" w:space="0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77EB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法务专员</w:t>
            </w:r>
          </w:p>
        </w:tc>
        <w:tc>
          <w:tcPr>
            <w:tcW w:w="3971" w:type="dxa"/>
            <w:tcBorders>
              <w:top w:val="nil"/>
              <w:left w:val="nil"/>
              <w:bottom w:val="single" w:color="4BACC6" w:sz="8" w:space="0"/>
              <w:right w:val="single" w:color="4BACC6" w:sz="8" w:space="0"/>
            </w:tcBorders>
            <w:shd w:val="clear" w:color="auto" w:fill="auto"/>
            <w:vAlign w:val="center"/>
          </w:tcPr>
          <w:p w14:paraId="348C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</w:t>
            </w:r>
          </w:p>
        </w:tc>
      </w:tr>
    </w:tbl>
    <w:p w14:paraId="75BBBF8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157" w:afterLines="50" w:afterAutospacing="0" w:line="240" w:lineRule="auto"/>
        <w:textAlignment w:val="auto"/>
        <w:rPr>
          <w:rFonts w:hint="eastAsia" w:ascii="微软雅黑" w:hAnsi="微软雅黑" w:eastAsia="微软雅黑" w:cs="宋体"/>
          <w:b/>
          <w:color w:val="00B0F0"/>
          <w:kern w:val="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81511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5E6BC0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5E6BC0">
                    <w:pPr>
                      <w:pStyle w:val="5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C8A30">
    <w:pPr>
      <w:pStyle w:val="6"/>
      <w:pBdr>
        <w:bottom w:val="single" w:color="auto" w:sz="4" w:space="1"/>
      </w:pBdr>
    </w:pPr>
    <w:r>
      <w:drawing>
        <wp:inline distT="0" distB="0" distL="0" distR="0">
          <wp:extent cx="1062990" cy="219075"/>
          <wp:effectExtent l="0" t="0" r="3810" b="9525"/>
          <wp:docPr id="5" name="图片 4" descr="uni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 descr="uniview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1472" cy="222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rFonts w:hint="eastAsia" w:ascii="微软雅黑" w:hAnsi="微软雅黑" w:eastAsia="微软雅黑" w:cs="微软雅黑"/>
        <w:sz w:val="20"/>
        <w:szCs w:val="20"/>
      </w:rPr>
      <w:t>宇视科技202</w:t>
    </w:r>
    <w:r>
      <w:rPr>
        <w:rFonts w:hint="eastAsia" w:ascii="微软雅黑" w:hAnsi="微软雅黑" w:eastAsia="微软雅黑" w:cs="微软雅黑"/>
        <w:sz w:val="20"/>
        <w:szCs w:val="20"/>
        <w:lang w:val="en-US" w:eastAsia="zh-CN"/>
      </w:rPr>
      <w:t>7</w:t>
    </w:r>
    <w:r>
      <w:rPr>
        <w:rFonts w:hint="eastAsia" w:ascii="微软雅黑" w:hAnsi="微软雅黑" w:eastAsia="微软雅黑" w:cs="微软雅黑"/>
        <w:sz w:val="20"/>
        <w:szCs w:val="20"/>
      </w:rPr>
      <w:t>届校园招聘简章</w:t>
    </w:r>
    <w:r>
      <w:ptab w:relativeTo="margin" w:alignment="right" w:leader="none"/>
    </w:r>
    <w:r>
      <w:rPr>
        <w:rFonts w:hint="eastAsia"/>
        <w:sz w:val="20"/>
        <w:szCs w:val="20"/>
      </w:rPr>
      <w:t>公开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C7073B"/>
    <w:multiLevelType w:val="multilevel"/>
    <w:tmpl w:val="9DC7073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 w:cs="Wingdings"/>
      </w:rPr>
    </w:lvl>
  </w:abstractNum>
  <w:abstractNum w:abstractNumId="1">
    <w:nsid w:val="018318BE"/>
    <w:multiLevelType w:val="multilevel"/>
    <w:tmpl w:val="018318BE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4."/>
      <w:lvlJc w:val="left"/>
      <w:pPr>
        <w:tabs>
          <w:tab w:val="left" w:pos="567"/>
        </w:tabs>
        <w:ind w:left="936" w:hanging="680"/>
      </w:pPr>
    </w:lvl>
    <w:lvl w:ilvl="4" w:tentative="0">
      <w:start w:val="1"/>
      <w:numFmt w:val="decimal"/>
      <w:lvlText w:val="%5）"/>
      <w:lvlJc w:val="left"/>
      <w:pPr>
        <w:tabs>
          <w:tab w:val="left" w:pos="567"/>
        </w:tabs>
        <w:ind w:left="936" w:hanging="680"/>
      </w:pPr>
    </w:lvl>
    <w:lvl w:ilvl="5" w:tentative="0">
      <w:start w:val="1"/>
      <w:numFmt w:val="lowerLetter"/>
      <w:lvlText w:val="%6）"/>
      <w:lvlJc w:val="left"/>
      <w:pPr>
        <w:tabs>
          <w:tab w:val="left" w:pos="567"/>
        </w:tabs>
        <w:ind w:left="936" w:hanging="680"/>
      </w:pPr>
    </w:lvl>
    <w:lvl w:ilvl="6" w:tentative="0">
      <w:start w:val="1"/>
      <w:numFmt w:val="lowerRoman"/>
      <w:lvlText w:val="%7"/>
      <w:lvlJc w:val="left"/>
      <w:pPr>
        <w:tabs>
          <w:tab w:val="left" w:pos="567"/>
        </w:tabs>
        <w:ind w:left="936" w:hanging="68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329B12E7"/>
    <w:multiLevelType w:val="singleLevel"/>
    <w:tmpl w:val="329B12E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B8B8FD7"/>
    <w:multiLevelType w:val="singleLevel"/>
    <w:tmpl w:val="5B8B8FD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zZDdlZWIwYmQ1NzcyNjY4YTQxZjVmY2M1ZmM3MWMifQ=="/>
  </w:docVars>
  <w:rsids>
    <w:rsidRoot w:val="00172A27"/>
    <w:rsid w:val="00172A27"/>
    <w:rsid w:val="001746DC"/>
    <w:rsid w:val="00465CF5"/>
    <w:rsid w:val="0084206E"/>
    <w:rsid w:val="008519F7"/>
    <w:rsid w:val="00955D7D"/>
    <w:rsid w:val="00995A26"/>
    <w:rsid w:val="00FD1228"/>
    <w:rsid w:val="026F01B9"/>
    <w:rsid w:val="05B77BBA"/>
    <w:rsid w:val="07167B88"/>
    <w:rsid w:val="07612A3D"/>
    <w:rsid w:val="08034C3F"/>
    <w:rsid w:val="0892743D"/>
    <w:rsid w:val="08B25C12"/>
    <w:rsid w:val="093C49CD"/>
    <w:rsid w:val="09EF3914"/>
    <w:rsid w:val="0A1C387C"/>
    <w:rsid w:val="0AD70CFC"/>
    <w:rsid w:val="0B80322F"/>
    <w:rsid w:val="109B71AD"/>
    <w:rsid w:val="12A36BE3"/>
    <w:rsid w:val="139A553C"/>
    <w:rsid w:val="13E1587A"/>
    <w:rsid w:val="149C5727"/>
    <w:rsid w:val="14ED6F2C"/>
    <w:rsid w:val="161D2A35"/>
    <w:rsid w:val="17D15726"/>
    <w:rsid w:val="19EE3612"/>
    <w:rsid w:val="1AB133AA"/>
    <w:rsid w:val="1B770D89"/>
    <w:rsid w:val="1E7602DE"/>
    <w:rsid w:val="20FE0E3B"/>
    <w:rsid w:val="21271229"/>
    <w:rsid w:val="214F5EAC"/>
    <w:rsid w:val="24FD7D68"/>
    <w:rsid w:val="25427252"/>
    <w:rsid w:val="265C4B1F"/>
    <w:rsid w:val="26687A25"/>
    <w:rsid w:val="269804FC"/>
    <w:rsid w:val="26BC10EB"/>
    <w:rsid w:val="2A04596B"/>
    <w:rsid w:val="2BE4499D"/>
    <w:rsid w:val="2C866E3B"/>
    <w:rsid w:val="2DB62D77"/>
    <w:rsid w:val="31556AAC"/>
    <w:rsid w:val="316839F7"/>
    <w:rsid w:val="32D96F57"/>
    <w:rsid w:val="33E11727"/>
    <w:rsid w:val="36D35DD3"/>
    <w:rsid w:val="3728751D"/>
    <w:rsid w:val="37740147"/>
    <w:rsid w:val="39EF5B76"/>
    <w:rsid w:val="3A3A4FD6"/>
    <w:rsid w:val="3C646C6C"/>
    <w:rsid w:val="3F805FDD"/>
    <w:rsid w:val="4012062B"/>
    <w:rsid w:val="40136427"/>
    <w:rsid w:val="427D25EE"/>
    <w:rsid w:val="42F32089"/>
    <w:rsid w:val="431342E3"/>
    <w:rsid w:val="440E12C6"/>
    <w:rsid w:val="44AD5C7B"/>
    <w:rsid w:val="44BA52FD"/>
    <w:rsid w:val="47066529"/>
    <w:rsid w:val="47FE9C72"/>
    <w:rsid w:val="48306BA6"/>
    <w:rsid w:val="487321E2"/>
    <w:rsid w:val="495C7C54"/>
    <w:rsid w:val="4A662BFF"/>
    <w:rsid w:val="4C7D56D0"/>
    <w:rsid w:val="4CE26757"/>
    <w:rsid w:val="4E6948CE"/>
    <w:rsid w:val="4EAB7A6E"/>
    <w:rsid w:val="525D6439"/>
    <w:rsid w:val="526D37FE"/>
    <w:rsid w:val="5436745D"/>
    <w:rsid w:val="556A04C9"/>
    <w:rsid w:val="55AF6C10"/>
    <w:rsid w:val="5829757B"/>
    <w:rsid w:val="586575D2"/>
    <w:rsid w:val="59FD067F"/>
    <w:rsid w:val="5A753087"/>
    <w:rsid w:val="5A8D3258"/>
    <w:rsid w:val="5BDB5A53"/>
    <w:rsid w:val="5C8D0837"/>
    <w:rsid w:val="627451D2"/>
    <w:rsid w:val="63357FD7"/>
    <w:rsid w:val="642423A0"/>
    <w:rsid w:val="6517609C"/>
    <w:rsid w:val="66E73E4E"/>
    <w:rsid w:val="69A730D1"/>
    <w:rsid w:val="6ABC311D"/>
    <w:rsid w:val="6D0975D1"/>
    <w:rsid w:val="71A306C2"/>
    <w:rsid w:val="729910AC"/>
    <w:rsid w:val="77723CBE"/>
    <w:rsid w:val="788B3610"/>
    <w:rsid w:val="789923AE"/>
    <w:rsid w:val="799A22CF"/>
    <w:rsid w:val="7B19137E"/>
    <w:rsid w:val="7C243481"/>
    <w:rsid w:val="7C2F0EEE"/>
    <w:rsid w:val="BBF7BAA1"/>
    <w:rsid w:val="BF7F955C"/>
    <w:rsid w:val="F9EFE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19"/>
    <w:qFormat/>
    <w:uiPriority w:val="0"/>
    <w:pPr>
      <w:keepNext/>
      <w:widowControl/>
      <w:numPr>
        <w:ilvl w:val="0"/>
        <w:numId w:val="1"/>
      </w:numPr>
      <w:spacing w:before="240" w:after="240"/>
      <w:outlineLvl w:val="0"/>
    </w:pPr>
    <w:rPr>
      <w:rFonts w:ascii="Arial" w:hAnsi="Arial" w:eastAsia="黑体" w:cs="Times New Roman"/>
      <w:b/>
      <w:kern w:val="0"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styleId="10">
    <w:name w:val="Light List Accent 5"/>
    <w:basedOn w:val="8"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character" w:styleId="12">
    <w:name w:val="FollowedHyperlink"/>
    <w:basedOn w:val="11"/>
    <w:qFormat/>
    <w:uiPriority w:val="0"/>
    <w:rPr>
      <w:color w:val="800080"/>
      <w:u w:val="single"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标题 3 Char"/>
    <w:basedOn w:val="11"/>
    <w:link w:val="4"/>
    <w:qFormat/>
    <w:uiPriority w:val="0"/>
    <w:rPr>
      <w:rFonts w:hint="eastAsia" w:ascii="黑体" w:hAnsi="宋体" w:eastAsia="黑体" w:cs="黑体"/>
      <w:bCs/>
      <w:kern w:val="2"/>
      <w:sz w:val="24"/>
      <w:szCs w:val="32"/>
    </w:rPr>
  </w:style>
  <w:style w:type="character" w:customStyle="1" w:styleId="15">
    <w:name w:val="页脚 Char"/>
    <w:basedOn w:val="11"/>
    <w:link w:val="5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1"/>
    <w:link w:val="3"/>
    <w:qFormat/>
    <w:uiPriority w:val="0"/>
    <w:rPr>
      <w:rFonts w:hint="default" w:ascii="Arial" w:hAnsi="Arial" w:eastAsia="黑体" w:cs="Arial"/>
      <w:sz w:val="24"/>
      <w:szCs w:val="24"/>
    </w:rPr>
  </w:style>
  <w:style w:type="character" w:customStyle="1" w:styleId="17">
    <w:name w:val="页眉 Char"/>
    <w:basedOn w:val="11"/>
    <w:link w:val="6"/>
    <w:qFormat/>
    <w:uiPriority w:val="0"/>
    <w:rPr>
      <w:kern w:val="2"/>
      <w:sz w:val="18"/>
      <w:szCs w:val="18"/>
    </w:rPr>
  </w:style>
  <w:style w:type="paragraph" w:customStyle="1" w:styleId="18">
    <w:name w:val="msolist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19">
    <w:name w:val="标题 1 Char"/>
    <w:basedOn w:val="11"/>
    <w:link w:val="2"/>
    <w:qFormat/>
    <w:uiPriority w:val="0"/>
    <w:rPr>
      <w:rFonts w:hint="default" w:ascii="Arial" w:hAnsi="Arial" w:eastAsia="黑体" w:cs="Arial"/>
      <w:b/>
      <w:sz w:val="32"/>
      <w:szCs w:val="32"/>
    </w:rPr>
  </w:style>
  <w:style w:type="character" w:customStyle="1" w:styleId="20">
    <w:name w:val="font21"/>
    <w:basedOn w:val="11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21">
    <w:name w:val="font41"/>
    <w:basedOn w:val="11"/>
    <w:qFormat/>
    <w:uiPriority w:val="0"/>
    <w:rPr>
      <w:rFonts w:hint="eastAsia" w:ascii="微软雅黑" w:hAnsi="微软雅黑" w:eastAsia="微软雅黑" w:cs="微软雅黑"/>
      <w:color w:val="4D27EF"/>
      <w:sz w:val="18"/>
      <w:szCs w:val="18"/>
      <w:u w:val="none"/>
    </w:rPr>
  </w:style>
  <w:style w:type="character" w:customStyle="1" w:styleId="22">
    <w:name w:val="font31"/>
    <w:basedOn w:val="11"/>
    <w:qFormat/>
    <w:uiPriority w:val="0"/>
    <w:rPr>
      <w:rFonts w:hint="eastAsia" w:ascii="微软雅黑" w:hAnsi="微软雅黑" w:eastAsia="微软雅黑" w:cs="微软雅黑"/>
      <w:color w:val="4D27EF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265b03-f12a-4ef6-9ffe-a11f803a48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1587</Words>
  <Characters>1807</Characters>
  <Lines>22</Lines>
  <Paragraphs>6</Paragraphs>
  <TotalTime>55</TotalTime>
  <ScaleCrop>false</ScaleCrop>
  <LinksUpToDate>false</LinksUpToDate>
  <CharactersWithSpaces>1830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y02399</dc:creator>
  <cp:lastModifiedBy>瀬Cha</cp:lastModifiedBy>
  <dcterms:modified xsi:type="dcterms:W3CDTF">2026-09-17T09:07:38Z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04E0255AC4CE4C9D80DDEE5D97451BB1</vt:lpwstr>
  </property>
  <property fmtid="{D5CDD505-2E9C-101B-9397-08002B2CF9AE}" pid="4" name="KSOTemplateDocerSaveRecord">
    <vt:lpwstr>eyJoZGlkIjoiZjI4YjlhNzhkYzUxYTFkNDIwMzA1YmI2OTE0NWI3YzkiLCJ1c2VySWQiOiI2Mzc5MTE3NTYifQ==</vt:lpwstr>
  </property>
</Properties>
</file>